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Nyköping kommunfullmäktige</w:t>
      </w:r>
    </w:p>
    <w:p>
      <w:pPr>
        <w:pStyle w:val="Heading1"/>
      </w:pPr>
      <w:r>
        <w:t xml:space="preserve">Korta handläggningstider för bygglov och serveringstillstånd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Nyköping rankas 142 av 290 kommuner i Svenskt Näringslivs företagsklimat 2025. Långa handläggningstider hämmar nyetableringar och expansion.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max 6 veckors handläggningstid för bygglov för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digitalisera hela bygglovsprocessen med e-tjänst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tidsgaranti för serveringstillstånd med 4 veckors handläggning.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tillsätta en näringslivslots som stödjer företag i tillståndsärenden.</w:t>
      </w:r>
    </w:p>
    <w:p>
      <w:pPr>
        <w:spacing w:before="360"/>
      </w:pPr>
    </w:p>
    <w:p>
      <w:r>
        <w:t xml:space="preserve">Nyköping,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2026-07-14T04:45:53.592Z</dcterms:created>
  <dcterms:modified xsi:type="dcterms:W3CDTF">2026-07-14T04:45:53.592Z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